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安庆市第六人民医院院内监控耗材设备采购项目技术要求</w:t>
      </w:r>
    </w:p>
    <w:tbl>
      <w:tblPr>
        <w:tblStyle w:val="11"/>
        <w:tblpPr w:leftFromText="180" w:rightFromText="180" w:vertAnchor="text" w:horzAnchor="page" w:tblpXSpec="center" w:tblpY="769"/>
        <w:tblOverlap w:val="never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23"/>
        <w:gridCol w:w="4962"/>
        <w:gridCol w:w="708"/>
        <w:gridCol w:w="70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最高限价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显示器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24寸支持DP、HDMI接口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硬盘录像机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 具有2个HDMI接口、2个VGA接口、2个RJ45网络接口、2个USB2.0接口、1个USB3.0接口、1个RS232接口、1个RS485接口、1个eSata接口、1路音频输入接口、2路音频输出接口；16路报警输入接口、9路报警输出接口、具有2路直流DC 12V输出接口（其中1路为Ctrl报警输出口）；可内置9个SATA接口硬盘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 可接入1T、2T、3T、4T、6T、8T、10T、12TB、14TB、16TB、18TB容量的SATA接口硬盘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 ★可接入32路分辨率为1920×1080的视频图像；支持最大接入带宽 256Mbps，最大存储带宽 256Mbps，最大转发带宽160Mbps，最大回放带宽160Mbps，开启视频流智能分析后NVR网络带宽不应降低（提供公安部检测报告复印件证明并加盖投标人公章）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 预览分辨率支持：8160×3616、8208×3072、8160×2304、6912×2800、5760×1696、5520×2400、4096×2160、4000×3000、3072×3072、4096×2160、3840×2160、2560×2560、2560×1440、1920×1080 、1280×960、1280×720、704×576；帧率均为25帧/秒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 ★可同时显示输出12路H.265编码、30fps、1920×1080格式的视频图像，或同时输出3路 H.265编码、25fps、4096×2160或者3840×2160格式的视频图像，或同时解码2路 H.265编码、20fps、4000×3000格式的视频图像。输出1路H.265编码、25fps、8160×3072格式的视频图像；开启视频流智能分析，NVR解码性能不会降低（提供公安部检测报告复印件证明并加盖投标人公章）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 支持16个人脸库，库容5万张人脸图片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 ★支持2路视频流人脸识别，支持8路图片流人脸识别。支持10张/秒人脸比对报警，比对结果显示包括人脸比对成功、人脸比对失败和陌生人报警（提供公安部检测报告复印件证明并加盖投标人公章）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 人脸库建模成功率不低于99.99%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 ★采用单人戴口罩正脸依次循环通行进行试验，试验人员数量不小于5人，通过速度不小于1m/s，人员通过间隔时间不大于1s，戴口罩人脸检出率不低于99%（提供公安部检测报告复印件证明并加盖投标人公章）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 ★人脸正对相机、人脸无遮挡等干扰情况，人脸识别准确率≥99%（提供公安部检测报告复印件证明并加盖投标人公章）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 ★支持周界报警过滤功能，对IPC上报的越界侦测报警和区域入侵报警进行去误报，可去除由树叶、灯光、车辆、阴影以及小动物引起的误报；最大支持32路（提供公安部检测报告复印件证明并加盖投标人公章）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 支持接入高级移动侦测的相机，移动侦测报警能够区分是人、车还是其它目标产生，可录像和记录报警信息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 ★接入带有温度报警、烟雾报警、障碍物遮挡报警、移动报警、防拆报警、紧急报警的智慧消防相机，当触发报警时，样机可联动录像、抓拍并保存图片、弹出报警画面、声音警告、上传中心、发送邮件、触发报警输出，并按通道、时间、类型检索报警图片，录像搜索结果支持图片和列表两种展现形式（提供公安部检测报告复印件证明并加盖投标人公章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 最大可接入32路支持高空抛物行为检测的IPC，可联动录像、抓图、蜂鸣报警、预置点、邮件、本地报警输出、IPC报警输出以及日志记录；支持按通道、日期对高空抛物行为进行录像检索，以及关联录像回放，并导出图片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 接入带有人体测温功能的IPC，支持在预览界面以卡片形式实时展示体温信息，体温正常为绿色，体温异常为红色，支持根据体温状态联动语音输出，语音支持“体温正常”、“体温异常”。支持按体温状态、温度范围检索人脸图片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 接入警戒摄像机，支持对IPC的声音和闪光参数进行配置， 支持通过移动侦测、区域入侵、越界侦测、进入区域和离开区域事件联动一个或多个IPC的声光报警，可以对声光联动一键撤防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 ★企业技术要求：支持导入不同的语音文件，支持播报语音文件；支持人脸、周界、车辆检测、视频结构化的报警触发时联动语音播报（提供公安部检测报告复印件证明并加盖投标人公章）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 具有存储安全保障功能，当存储压力过高或硬盘出现性能不足时，可优先录像业务存储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 支持从其他设备导入录像文件，并对录像文件进行人脸检测和识别，显示识别结果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20. 支持活动目标与实时预览同屏显示。实时预览的同时可以提取视频画面中的活动目标，可显示人脸、人体、车辆等目标图片，点击图片可即时回放相关录像；配合车辆抓拍摄像机，可显示车辆抓拍图、抓拍时间、车牌号码、车辆品牌、车型、车辆颜色、车牌颜色信息；配合人脸抓拍摄像机，可显示人脸抓拍图、抓拍时间信息；可显示人体抓拍图、性别、上衣颜色、下装颜色、是否戴眼镜、是否背包信息、是否拎东西、是否戴帽子、是否戴口罩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21. 支持过车记录导出表格功能，表格包含通道、时间、车牌号、车型、车牌颜色、车身颜色、车辆品牌、车辆抓拍图片信息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22. 支持以IPv6方式接入IPC进行预览、参数配置、报警接收和展现、语音对讲、IPC列表导入、IP地址冲突检测等功能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POE分离器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2A POE分离器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网线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CAT5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交换机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技术参数要求：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1.固化千兆电接口≥24个，独立千兆SFP光接口≥4个；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2.交换容量≥3.3Tbps，包转发率≥125Mpps；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3.支持IPv4、IPv6静态路由、RIP、RIPng、OSPFv2、OSPFv3等三层路由和组播功能；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4.★为保证设备稳定运行、设备防浪涌≥10kv，提供第三方权威机构检验报告复印件证明并加盖投标人公章；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5.设备采用无风扇静音节能设计，支持IEEE 802.3az 标准的 EEE节能技术，最低功耗≤24W；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6.支持openflow 1.3协议；支持零配置，支持CWMP(TR069)协议；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7.★支持专门基础网络保护机制，能够限制用户向网络中发送数据包的速率，对有攻击行为的用户进行隔离，保证设备和整网的安全稳定运行，投标时提供第三方权威机构检验报告证明复印件并加盖投标人公章； 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8.★支持设备虚拟化功能，能够将多台物理设备虚拟成1台逻辑设备，同时虚拟化故障恢复时间小于30ms，提供第三方权威机构测试报复印件并加盖投标人公章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USB延长线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USB延长线、20米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高清线HDMI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15米HDMI线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摄像机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 在1920x1080下分辨力可达到900TVL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 信噪比不小于55dB。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 支持红外补光，有效补光距离达到50m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 需支持IP66防尘防水。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 支持DC12V或poe供电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 内置1个麦克风，1个RJ45网络接口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 靶面尺寸为1/2.7英寸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高清球机</w:t>
            </w:r>
          </w:p>
        </w:tc>
        <w:tc>
          <w:tcPr>
            <w:tcW w:w="4962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 主码流支持1920x1080，子码流支持704x576，第三码流支持1920x1080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 设备靶面尺寸为1/2.8英寸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 最低照度彩色不大于0.005 lx，黑白不大于0.001 lx；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 支持水平0° ~ 360°，连续旋转；垂直 -15° ~ 90°。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 支持300个预置位，可按照所设置的预置位完成大于8条巡航路径。支持预置位视频冻结功能.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 具有H.264、H.265、MJPEG设置选项，可将H.264、H.265格式设置为High Profile/Main/Baseline。（公安部检测报告复印件证明并加盖投标人公章）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 ★设备支持接入壁装和吊装警戒配件，警戒配件支持声光警戒功能，当人或车辆进入警戒区域后，警戒配件可发出红蓝灯警示，蜂鸣器报警。（提供公安部检测报告复印件证明并加盖投标人公章）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 夜间天气晴朗无遮挡，红外补光灯开启，可识别距离设备150m处的人体轮廓。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 ★设备在专用聚焦模式下具有3种聚焦功能：前景聚焦、后景聚焦、区域聚焦。（提供公安部检测报告复印件证明并加盖投标人公章）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 ★设备内置8颗补光灯和防雨帽檐、1个RJ45网络接口、1路音频输入接口、1路音频输出接口、2路报警输入接口、1个SD卡插槽。设备采用DC36V供电。（提供公安部检测报告复印件证明并加盖投标人公章）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3800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1、响应人的响应文件必须标明所投</w:t>
      </w:r>
      <w:r>
        <w:rPr>
          <w:rFonts w:hint="eastAsia" w:ascii="宋体" w:hAnsi="宋体"/>
          <w:sz w:val="24"/>
        </w:rPr>
        <w:t>成品</w:t>
      </w:r>
      <w:r>
        <w:rPr>
          <w:rFonts w:ascii="宋体" w:hAnsi="宋体"/>
          <w:sz w:val="24"/>
        </w:rPr>
        <w:t>的名称、生产厂家、品牌、型号、单位、数量、单价和总价等内容。总价</w:t>
      </w:r>
      <w:r>
        <w:rPr>
          <w:rFonts w:hint="eastAsia" w:ascii="宋体" w:hAnsi="宋体"/>
          <w:sz w:val="24"/>
        </w:rPr>
        <w:t>不</w:t>
      </w:r>
      <w:r>
        <w:rPr>
          <w:rFonts w:ascii="宋体" w:hAnsi="宋体"/>
          <w:sz w:val="24"/>
        </w:rPr>
        <w:t>作为合同结算依据，保证原厂正品供货，提供相关资料等；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2、报价应包含满足本次采购需求的所有费用（包括但不限于：所投设备、  保险、税费、包装、加工及加工损耗、运输、现场落地、安装及安装损耗、调试、检测验收和交付后约定期限内维保等 ；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3、为鼓励不同品牌的充分竞争，如某</w:t>
      </w:r>
      <w:r>
        <w:rPr>
          <w:rFonts w:hint="eastAsia" w:ascii="宋体" w:hAnsi="宋体"/>
          <w:sz w:val="24"/>
        </w:rPr>
        <w:t>产品</w:t>
      </w:r>
      <w:r>
        <w:rPr>
          <w:rFonts w:ascii="宋体" w:hAnsi="宋体"/>
          <w:sz w:val="24"/>
        </w:rPr>
        <w:t>的某技术参数或要求属于个别品牌专有，则该技术参数及要求不具有限制性，投标人可对该参数或要求进行适当调整，但这种调整整体上要优于或相当于文件的相关要求，并说明调整理由，且该调整须经询价小组审核认可；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4、 项目验收时，需对</w:t>
      </w:r>
      <w:r>
        <w:rPr>
          <w:rFonts w:hint="eastAsia" w:ascii="宋体" w:hAnsi="宋体"/>
          <w:sz w:val="24"/>
        </w:rPr>
        <w:t>产品</w:t>
      </w:r>
      <w:r>
        <w:rPr>
          <w:rFonts w:ascii="宋体" w:hAnsi="宋体"/>
          <w:sz w:val="24"/>
        </w:rPr>
        <w:t>功能及技术参数要求进行核对；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产品</w:t>
      </w:r>
      <w:r>
        <w:rPr>
          <w:rFonts w:ascii="宋体" w:hAnsi="宋体"/>
          <w:sz w:val="24"/>
        </w:rPr>
        <w:t>参数不符或使用虚假参数的，投标人要承担相应的法律责任，采购人有权将其虚假投标行为报送招标主管部门处罚，同时鉴于投标人行为给采购人</w:t>
      </w:r>
      <w:r>
        <w:rPr>
          <w:rFonts w:hint="eastAsia" w:ascii="宋体" w:hAnsi="宋体"/>
          <w:sz w:val="24"/>
        </w:rPr>
        <w:t>产品</w:t>
      </w:r>
      <w:r>
        <w:rPr>
          <w:rFonts w:ascii="宋体" w:hAnsi="宋体"/>
          <w:sz w:val="24"/>
        </w:rPr>
        <w:t>采购使用造成直接和间接的损失，投标人应按采购预算的2倍资金赔偿甲方。</w:t>
      </w:r>
    </w:p>
    <w:p>
      <w:pPr>
        <w:pStyle w:val="2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TVmNmNmMDQzNzYxOWE0NDM1NTk2M2JmZDMxNDUifQ=="/>
  </w:docVars>
  <w:rsids>
    <w:rsidRoot w:val="00AC4481"/>
    <w:rsid w:val="00082A46"/>
    <w:rsid w:val="001E1983"/>
    <w:rsid w:val="002D2AB4"/>
    <w:rsid w:val="00380ADF"/>
    <w:rsid w:val="00491CF0"/>
    <w:rsid w:val="00623F03"/>
    <w:rsid w:val="00624DB6"/>
    <w:rsid w:val="007306BC"/>
    <w:rsid w:val="00735923"/>
    <w:rsid w:val="00814689"/>
    <w:rsid w:val="00900F24"/>
    <w:rsid w:val="009D12BC"/>
    <w:rsid w:val="009E1C45"/>
    <w:rsid w:val="009F7825"/>
    <w:rsid w:val="00AC4481"/>
    <w:rsid w:val="00CD3825"/>
    <w:rsid w:val="00E20721"/>
    <w:rsid w:val="00F3448B"/>
    <w:rsid w:val="00FA04B1"/>
    <w:rsid w:val="01BE1A1A"/>
    <w:rsid w:val="0C9B54A4"/>
    <w:rsid w:val="0E01406D"/>
    <w:rsid w:val="0FE760C4"/>
    <w:rsid w:val="13B2765F"/>
    <w:rsid w:val="13BB11C7"/>
    <w:rsid w:val="151E7C1B"/>
    <w:rsid w:val="1BBC6F25"/>
    <w:rsid w:val="20C57466"/>
    <w:rsid w:val="2BC716AB"/>
    <w:rsid w:val="2DFB722A"/>
    <w:rsid w:val="2EB5074D"/>
    <w:rsid w:val="33B84876"/>
    <w:rsid w:val="3A6C704C"/>
    <w:rsid w:val="3AF30ADD"/>
    <w:rsid w:val="3C806A23"/>
    <w:rsid w:val="46E24E21"/>
    <w:rsid w:val="4733009B"/>
    <w:rsid w:val="4C97358B"/>
    <w:rsid w:val="520D0D06"/>
    <w:rsid w:val="56956D89"/>
    <w:rsid w:val="5E4374EB"/>
    <w:rsid w:val="5EDB2B44"/>
    <w:rsid w:val="601B366F"/>
    <w:rsid w:val="66BC16DF"/>
    <w:rsid w:val="70A43B43"/>
    <w:rsid w:val="721E7C61"/>
    <w:rsid w:val="79056526"/>
    <w:rsid w:val="79400F1B"/>
    <w:rsid w:val="7DD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5"/>
    <w:autoRedefine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"/>
    <w:basedOn w:val="1"/>
    <w:next w:val="2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7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2">
    <w:name w:val="Table Grid"/>
    <w:basedOn w:val="11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632</Characters>
  <Lines>4</Lines>
  <Paragraphs>1</Paragraphs>
  <TotalTime>0</TotalTime>
  <ScaleCrop>false</ScaleCrop>
  <LinksUpToDate>false</LinksUpToDate>
  <CharactersWithSpaces>654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2020-07-21T00:32:00Z</dcterms:created>
  <dc:creator>Administrator</dc:creator>
  <cp:lastModifiedBy>admin</cp:lastModifiedBy>
  <cp:lastPrinted>2024-02-28T02:13:00Z</cp:lastPrinted>
  <dcterms:modified xsi:type="dcterms:W3CDTF">2024-03-11T00:51:32Z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7E18DED960604666AC53E52C6B5340B0_13</vt:lpwstr>
  </property>
</Properties>
</file>