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259A7">
      <w:pPr>
        <w:spacing w:line="360" w:lineRule="auto"/>
        <w:jc w:val="center"/>
        <w:outlineLvl w:val="0"/>
        <w:rPr>
          <w:rFonts w:asciiTheme="minorEastAsia" w:hAnsiTheme="minorEastAsia" w:eastAsiaTheme="minorEastAsia"/>
          <w:b/>
          <w:sz w:val="28"/>
        </w:rPr>
      </w:pPr>
      <w:bookmarkStart w:id="0" w:name="_Toc11310"/>
      <w:r>
        <w:rPr>
          <w:rFonts w:hint="eastAsia" w:asciiTheme="minorEastAsia" w:hAnsiTheme="minorEastAsia" w:eastAsiaTheme="minorEastAsia"/>
          <w:b/>
          <w:sz w:val="28"/>
        </w:rPr>
        <w:t>安庆市第六人民医院国家公立医院信息互联互通标准化成熟度测评定量预测评技术服务采购项目采购需求</w:t>
      </w:r>
      <w:bookmarkEnd w:id="0"/>
      <w:bookmarkStart w:id="6" w:name="_GoBack"/>
      <w:bookmarkEnd w:id="6"/>
    </w:p>
    <w:p w14:paraId="423501CD">
      <w:pPr>
        <w:spacing w:line="360" w:lineRule="auto"/>
        <w:ind w:firstLine="422" w:firstLineChars="200"/>
        <w:rPr>
          <w:rFonts w:ascii="宋体" w:hAnsi="宋体" w:eastAsia="宋体" w:cs="宋体"/>
        </w:rPr>
      </w:pPr>
      <w:r>
        <w:rPr>
          <w:rFonts w:hint="eastAsia" w:ascii="宋体" w:hAnsi="宋体" w:eastAsia="宋体" w:cs="宋体"/>
          <w:b/>
          <w:bCs/>
          <w:szCs w:val="21"/>
        </w:rPr>
        <w:t>一、商务要求：</w:t>
      </w:r>
    </w:p>
    <w:tbl>
      <w:tblPr>
        <w:tblStyle w:val="1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519"/>
      </w:tblGrid>
      <w:tr w14:paraId="7906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B2930D9">
            <w:pPr>
              <w:pStyle w:val="2"/>
              <w:jc w:val="center"/>
              <w:rPr>
                <w:rFonts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147F2ADC">
            <w:pPr>
              <w:pStyle w:val="2"/>
              <w:jc w:val="center"/>
            </w:pPr>
            <w:r>
              <w:rPr>
                <w:rFonts w:hint="eastAsia" w:asciiTheme="minorEastAsia" w:hAnsiTheme="minorEastAsia"/>
                <w:b/>
                <w:bCs/>
                <w:sz w:val="24"/>
                <w:szCs w:val="24"/>
              </w:rPr>
              <w:t>条款名称</w:t>
            </w:r>
          </w:p>
        </w:tc>
        <w:tc>
          <w:tcPr>
            <w:tcW w:w="5519" w:type="dxa"/>
            <w:vAlign w:val="center"/>
          </w:tcPr>
          <w:p w14:paraId="1BDF7FAC">
            <w:pPr>
              <w:pStyle w:val="2"/>
              <w:jc w:val="center"/>
              <w:rPr>
                <w:rFonts w:cs="Wingdings" w:asciiTheme="minorEastAsia" w:hAnsiTheme="minorEastAsia"/>
                <w:b/>
                <w:sz w:val="24"/>
              </w:rPr>
            </w:pPr>
            <w:r>
              <w:rPr>
                <w:rFonts w:hint="eastAsia" w:cs="Wingdings" w:asciiTheme="minorEastAsia" w:hAnsiTheme="minorEastAsia"/>
                <w:b/>
                <w:sz w:val="24"/>
              </w:rPr>
              <w:t>具体要求内容</w:t>
            </w:r>
          </w:p>
        </w:tc>
      </w:tr>
      <w:tr w14:paraId="1B32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08" w:type="dxa"/>
            <w:vAlign w:val="center"/>
          </w:tcPr>
          <w:p w14:paraId="6FDC4707">
            <w:pPr>
              <w:jc w:val="center"/>
              <w:rPr>
                <w:rFonts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0BDE5613">
            <w:pPr>
              <w:jc w:val="center"/>
              <w:rPr>
                <w:rFonts w:ascii="宋体" w:hAnsi="宋体"/>
                <w:sz w:val="24"/>
              </w:rPr>
            </w:pPr>
            <w:r>
              <w:rPr>
                <w:rFonts w:asciiTheme="minorEastAsia" w:hAnsiTheme="minorEastAsia" w:eastAsiaTheme="minorEastAsia"/>
                <w:sz w:val="24"/>
              </w:rPr>
              <w:t>付款方式</w:t>
            </w:r>
          </w:p>
        </w:tc>
        <w:tc>
          <w:tcPr>
            <w:tcW w:w="5519" w:type="dxa"/>
            <w:vAlign w:val="center"/>
          </w:tcPr>
          <w:p w14:paraId="20A814C9">
            <w:pPr>
              <w:pStyle w:val="32"/>
              <w:widowControl w:val="0"/>
              <w:spacing w:before="0" w:beforeAutospacing="0" w:after="0" w:afterAutospacing="0" w:line="360" w:lineRule="auto"/>
              <w:jc w:val="both"/>
              <w:rPr>
                <w:rFonts w:asciiTheme="minorEastAsia" w:hAnsiTheme="minorEastAsia" w:eastAsiaTheme="minorEastAsia"/>
                <w:sz w:val="24"/>
              </w:rPr>
            </w:pPr>
            <w:r>
              <w:rPr>
                <w:rFonts w:hint="eastAsia" w:asciiTheme="minorEastAsia" w:hAnsiTheme="minorEastAsia" w:eastAsiaTheme="minorEastAsia"/>
                <w:sz w:val="24"/>
              </w:rPr>
              <w:t>合同签订后支付50%，完成测评达标后支付50%。</w:t>
            </w:r>
          </w:p>
        </w:tc>
      </w:tr>
      <w:tr w14:paraId="075D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E5D5E65">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3A1F5ECC">
            <w:pPr>
              <w:jc w:val="center"/>
              <w:rPr>
                <w:rFonts w:ascii="宋体" w:hAnsi="宋体" w:eastAsia="宋体" w:cs="宋体"/>
                <w:sz w:val="24"/>
              </w:rPr>
            </w:pPr>
            <w:r>
              <w:rPr>
                <w:rFonts w:hint="eastAsia" w:ascii="宋体" w:hAnsi="宋体" w:eastAsia="宋体" w:cs="宋体"/>
                <w:sz w:val="24"/>
              </w:rPr>
              <w:t>服务地点</w:t>
            </w:r>
          </w:p>
        </w:tc>
        <w:tc>
          <w:tcPr>
            <w:tcW w:w="5519" w:type="dxa"/>
            <w:vAlign w:val="center"/>
          </w:tcPr>
          <w:p w14:paraId="33A272E3">
            <w:pPr>
              <w:pStyle w:val="32"/>
              <w:widowControl w:val="0"/>
              <w:spacing w:before="0" w:beforeAutospacing="0" w:after="0" w:afterAutospacing="0" w:line="360" w:lineRule="auto"/>
              <w:jc w:val="both"/>
              <w:rPr>
                <w:rFonts w:asciiTheme="minorEastAsia" w:hAnsiTheme="minorEastAsia" w:eastAsiaTheme="minorEastAsia"/>
                <w:sz w:val="24"/>
              </w:rPr>
            </w:pPr>
            <w:r>
              <w:rPr>
                <w:rFonts w:hint="eastAsia" w:ascii="宋体" w:hAnsi="宋体" w:eastAsia="宋体" w:cs="宋体"/>
                <w:b w:val="0"/>
                <w:bCs w:val="0"/>
                <w:sz w:val="24"/>
                <w:szCs w:val="24"/>
              </w:rPr>
              <w:t>采购人指定地点</w:t>
            </w:r>
          </w:p>
        </w:tc>
      </w:tr>
      <w:tr w14:paraId="326A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182A6EA">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48FD7C78">
            <w:pPr>
              <w:jc w:val="center"/>
              <w:rPr>
                <w:rFonts w:ascii="宋体" w:hAnsi="宋体" w:eastAsia="宋体" w:cs="宋体"/>
                <w:sz w:val="24"/>
              </w:rPr>
            </w:pPr>
            <w:r>
              <w:rPr>
                <w:rFonts w:hint="eastAsia" w:ascii="宋体" w:hAnsi="宋体" w:eastAsia="宋体" w:cs="宋体"/>
                <w:sz w:val="24"/>
              </w:rPr>
              <w:t>服务期限</w:t>
            </w:r>
          </w:p>
        </w:tc>
        <w:tc>
          <w:tcPr>
            <w:tcW w:w="5519" w:type="dxa"/>
            <w:vAlign w:val="center"/>
          </w:tcPr>
          <w:p w14:paraId="2D0B750E">
            <w:pPr>
              <w:pStyle w:val="32"/>
              <w:widowControl w:val="0"/>
              <w:spacing w:before="0" w:beforeAutospacing="0" w:after="0" w:afterAutospacing="0" w:line="360" w:lineRule="auto"/>
              <w:jc w:val="both"/>
              <w:rPr>
                <w:rFonts w:asciiTheme="minorEastAsia" w:hAnsiTheme="minorEastAsia" w:eastAsiaTheme="minorEastAsia"/>
                <w:sz w:val="24"/>
              </w:rPr>
            </w:pPr>
            <w:r>
              <w:rPr>
                <w:rFonts w:hint="eastAsia" w:ascii="宋体" w:hAnsi="宋体" w:eastAsia="宋体" w:cs="宋体"/>
                <w:sz w:val="24"/>
                <w:szCs w:val="24"/>
                <w:lang w:eastAsia="zh-CN"/>
              </w:rPr>
              <w:t>自签署合同之日起提供医院信息互联互通标准化成熟度测评现场定量测试服务，至安庆市第六人民医院通过国家公立医院信息互联互通标准化成熟度四级甲等测评结束</w:t>
            </w:r>
            <w:r>
              <w:rPr>
                <w:rFonts w:hint="eastAsia" w:ascii="宋体" w:hAnsi="宋体" w:eastAsia="宋体" w:cs="宋体"/>
                <w:sz w:val="24"/>
                <w:szCs w:val="24"/>
              </w:rPr>
              <w:t>。</w:t>
            </w:r>
          </w:p>
        </w:tc>
      </w:tr>
    </w:tbl>
    <w:p w14:paraId="34D33BA6">
      <w:pPr>
        <w:keepNext/>
        <w:keepLines/>
        <w:tabs>
          <w:tab w:val="left" w:pos="3850"/>
        </w:tabs>
        <w:wordWrap w:val="0"/>
        <w:autoSpaceDE w:val="0"/>
        <w:autoSpaceDN w:val="0"/>
        <w:adjustRightInd w:val="0"/>
        <w:spacing w:line="440" w:lineRule="exact"/>
        <w:jc w:val="left"/>
        <w:outlineLvl w:val="2"/>
        <w:rPr>
          <w:rFonts w:ascii="宋体" w:hAnsi="宋体" w:eastAsia="宋体" w:cs="宋体"/>
          <w:b/>
          <w:kern w:val="0"/>
          <w:szCs w:val="21"/>
        </w:rPr>
      </w:pPr>
      <w:bookmarkStart w:id="1" w:name="_Toc18998"/>
      <w:r>
        <w:rPr>
          <w:rFonts w:hint="eastAsia" w:ascii="宋体" w:hAnsi="宋体" w:eastAsia="宋体" w:cs="宋体"/>
          <w:b/>
          <w:kern w:val="0"/>
          <w:szCs w:val="21"/>
        </w:rPr>
        <w:t>二、服务需求</w:t>
      </w:r>
      <w:bookmarkEnd w:id="1"/>
      <w:r>
        <w:rPr>
          <w:rFonts w:hint="eastAsia" w:ascii="宋体" w:hAnsi="宋体" w:eastAsia="宋体" w:cs="宋体"/>
          <w:b/>
          <w:kern w:val="0"/>
          <w:szCs w:val="21"/>
        </w:rPr>
        <w:t>说明</w:t>
      </w:r>
    </w:p>
    <w:p w14:paraId="6D43DB3D">
      <w:pPr>
        <w:spacing w:line="360" w:lineRule="auto"/>
        <w:ind w:firstLine="420" w:firstLineChars="200"/>
        <w:rPr>
          <w:rFonts w:ascii="宋体" w:hAnsi="宋体" w:eastAsia="宋体" w:cs="宋体"/>
          <w:szCs w:val="21"/>
        </w:rPr>
      </w:pPr>
      <w:r>
        <w:rPr>
          <w:rFonts w:hint="eastAsia" w:ascii="宋体" w:hAnsi="宋体" w:eastAsia="宋体" w:cs="宋体"/>
          <w:szCs w:val="21"/>
        </w:rPr>
        <w:t>医院信息互联互通标准化成熟度测评是依据电子病历基本数据集、电子病历共享文档规范、基于电子病历的医院信息平台技术规范等标准建立了多维度的测评指标体系，从数据资源标准化建设情况、互联互通标准化建设情况、基础设施建设建设和互联互通应用效果等方面进行综合测评，评定医院信息互联互通标准化成熟度。</w:t>
      </w:r>
    </w:p>
    <w:p w14:paraId="7A91789A">
      <w:pPr>
        <w:spacing w:line="360" w:lineRule="auto"/>
        <w:ind w:firstLine="420" w:firstLineChars="200"/>
        <w:rPr>
          <w:rFonts w:ascii="宋体" w:hAnsi="宋体" w:eastAsia="宋体" w:cs="宋体"/>
          <w:color w:val="000000"/>
          <w:kern w:val="0"/>
          <w:szCs w:val="21"/>
        </w:rPr>
      </w:pPr>
      <w:r>
        <w:rPr>
          <w:rFonts w:hint="eastAsia" w:ascii="宋体" w:hAnsi="宋体" w:eastAsia="宋体" w:cs="宋体"/>
          <w:szCs w:val="21"/>
        </w:rPr>
        <w:t>定量测试是指使用国家组织专家利用专用测试工具进行电子病历共享文档和互联互通标准服务验证，若测试不通过，一票否决。目前我院已完成电子病历共享文档的生成，以及互联互通标准服务的建设，但缺乏相关测评技术经验，不能确定共享文档和标准服务的标准符合性，为提高共享文档、标准服务的准确性，保证互联互通定量测评工作顺利开展，需要由专业第三方机构提供定量预测评技术服务。</w:t>
      </w:r>
      <w:r>
        <w:rPr>
          <w:rFonts w:hint="eastAsia" w:ascii="宋体" w:hAnsi="宋体" w:eastAsia="宋体" w:cs="宋体"/>
          <w:kern w:val="0"/>
          <w:szCs w:val="21"/>
        </w:rPr>
        <w:tab/>
      </w:r>
    </w:p>
    <w:p w14:paraId="5BA1B2BC">
      <w:pPr>
        <w:keepNext/>
        <w:keepLines/>
        <w:wordWrap w:val="0"/>
        <w:autoSpaceDE w:val="0"/>
        <w:autoSpaceDN w:val="0"/>
        <w:adjustRightInd w:val="0"/>
        <w:spacing w:line="440" w:lineRule="exact"/>
        <w:jc w:val="left"/>
        <w:outlineLvl w:val="2"/>
        <w:rPr>
          <w:rFonts w:ascii="宋体" w:hAnsi="宋体" w:eastAsia="宋体" w:cs="宋体"/>
          <w:b/>
          <w:kern w:val="0"/>
          <w:szCs w:val="21"/>
        </w:rPr>
      </w:pPr>
      <w:bookmarkStart w:id="2" w:name="_Toc22308"/>
      <w:bookmarkStart w:id="3" w:name="bookmark47"/>
      <w:r>
        <w:rPr>
          <w:rFonts w:hint="eastAsia" w:ascii="宋体" w:hAnsi="宋体" w:eastAsia="宋体" w:cs="宋体"/>
          <w:b/>
          <w:kern w:val="0"/>
          <w:szCs w:val="21"/>
        </w:rPr>
        <w:t>三、技术要求</w:t>
      </w:r>
      <w:bookmarkEnd w:id="2"/>
    </w:p>
    <w:bookmarkEnd w:id="3"/>
    <w:p w14:paraId="05D0D729">
      <w:pPr>
        <w:spacing w:line="360" w:lineRule="auto"/>
        <w:ind w:firstLine="420" w:firstLineChars="200"/>
        <w:rPr>
          <w:rFonts w:ascii="宋体" w:hAnsi="宋体" w:eastAsia="宋体" w:cs="宋体"/>
          <w:szCs w:val="21"/>
        </w:rPr>
      </w:pPr>
      <w:bookmarkStart w:id="4" w:name="_Toc8746"/>
      <w:r>
        <w:rPr>
          <w:rFonts w:hint="eastAsia" w:ascii="宋体" w:hAnsi="宋体" w:eastAsia="宋体" w:cs="宋体"/>
          <w:szCs w:val="21"/>
        </w:rPr>
        <w:t>通过对被测对象分析和理解，为了保证平台服务以及数据的标准符合性，应从以数据集标准符合性，共享文档标准符合性，交互服务标准符合性这三个方面进行考量。具体预测内容如下：</w:t>
      </w:r>
    </w:p>
    <w:tbl>
      <w:tblPr>
        <w:tblStyle w:val="16"/>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33"/>
        <w:gridCol w:w="5766"/>
      </w:tblGrid>
      <w:tr w14:paraId="67A9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3133" w:type="dxa"/>
            <w:vAlign w:val="center"/>
          </w:tcPr>
          <w:p w14:paraId="2AE0957D">
            <w:pPr>
              <w:spacing w:line="360" w:lineRule="auto"/>
              <w:ind w:firstLine="420" w:firstLineChars="200"/>
              <w:rPr>
                <w:rFonts w:ascii="宋体" w:hAnsi="宋体" w:eastAsia="宋体" w:cs="宋体"/>
                <w:szCs w:val="21"/>
              </w:rPr>
            </w:pPr>
            <w:r>
              <w:rPr>
                <w:rFonts w:hint="eastAsia" w:ascii="宋体" w:hAnsi="宋体" w:eastAsia="宋体" w:cs="宋体"/>
                <w:szCs w:val="21"/>
              </w:rPr>
              <w:t>测试需求</w:t>
            </w:r>
          </w:p>
        </w:tc>
        <w:tc>
          <w:tcPr>
            <w:tcW w:w="5766" w:type="dxa"/>
            <w:vAlign w:val="center"/>
          </w:tcPr>
          <w:p w14:paraId="66380D39">
            <w:pPr>
              <w:spacing w:line="360" w:lineRule="auto"/>
              <w:ind w:firstLine="420" w:firstLineChars="200"/>
              <w:rPr>
                <w:rFonts w:ascii="宋体" w:hAnsi="宋体" w:eastAsia="宋体" w:cs="宋体"/>
                <w:szCs w:val="21"/>
              </w:rPr>
            </w:pPr>
            <w:r>
              <w:rPr>
                <w:rFonts w:hint="eastAsia" w:ascii="宋体" w:hAnsi="宋体" w:eastAsia="宋体" w:cs="宋体"/>
                <w:szCs w:val="21"/>
              </w:rPr>
              <w:t>技术要求</w:t>
            </w:r>
          </w:p>
        </w:tc>
      </w:tr>
      <w:tr w14:paraId="3119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33" w:type="dxa"/>
            <w:vAlign w:val="center"/>
          </w:tcPr>
          <w:p w14:paraId="3DB78596">
            <w:pPr>
              <w:spacing w:line="360" w:lineRule="auto"/>
              <w:ind w:firstLine="420" w:firstLineChars="200"/>
              <w:rPr>
                <w:rFonts w:ascii="宋体" w:hAnsi="宋体" w:eastAsia="宋体" w:cs="宋体"/>
                <w:szCs w:val="21"/>
              </w:rPr>
            </w:pPr>
            <w:r>
              <w:rPr>
                <w:rFonts w:hint="eastAsia" w:ascii="宋体" w:hAnsi="宋体" w:eastAsia="宋体" w:cs="宋体"/>
                <w:szCs w:val="21"/>
              </w:rPr>
              <w:t>数据集标准符合性测试</w:t>
            </w:r>
          </w:p>
        </w:tc>
        <w:tc>
          <w:tcPr>
            <w:tcW w:w="5766" w:type="dxa"/>
            <w:vAlign w:val="center"/>
          </w:tcPr>
          <w:p w14:paraId="37B1932C">
            <w:pPr>
              <w:spacing w:line="360" w:lineRule="auto"/>
              <w:ind w:firstLine="420" w:firstLineChars="200"/>
              <w:rPr>
                <w:rFonts w:ascii="宋体" w:hAnsi="宋体" w:eastAsia="宋体" w:cs="宋体"/>
                <w:szCs w:val="21"/>
              </w:rPr>
            </w:pPr>
            <w:r>
              <w:rPr>
                <w:rFonts w:hint="eastAsia" w:ascii="宋体" w:hAnsi="宋体" w:eastAsia="宋体" w:cs="宋体"/>
                <w:szCs w:val="21"/>
              </w:rPr>
              <w:t>依据标准WS 445-2013、WS 375.9-2012、WS 376.1-2013的要求，检测测试对象中电子病历共享文档数据的数据类型、表示格式、数据元值及代码等数据元属性的标准化程度。</w:t>
            </w:r>
          </w:p>
        </w:tc>
      </w:tr>
      <w:tr w14:paraId="3EEC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133" w:type="dxa"/>
            <w:vAlign w:val="center"/>
          </w:tcPr>
          <w:p w14:paraId="748D83F9">
            <w:pPr>
              <w:spacing w:line="360" w:lineRule="auto"/>
              <w:ind w:firstLine="420" w:firstLineChars="200"/>
              <w:rPr>
                <w:rFonts w:ascii="宋体" w:hAnsi="宋体" w:eastAsia="宋体" w:cs="宋体"/>
                <w:szCs w:val="21"/>
              </w:rPr>
            </w:pPr>
            <w:r>
              <w:rPr>
                <w:rFonts w:hint="eastAsia" w:ascii="宋体" w:hAnsi="宋体" w:eastAsia="宋体" w:cs="宋体"/>
                <w:szCs w:val="21"/>
              </w:rPr>
              <w:t>共享文档标准符合性测试</w:t>
            </w:r>
          </w:p>
        </w:tc>
        <w:tc>
          <w:tcPr>
            <w:tcW w:w="5766" w:type="dxa"/>
            <w:vAlign w:val="center"/>
          </w:tcPr>
          <w:p w14:paraId="26692DB1">
            <w:pPr>
              <w:spacing w:line="360" w:lineRule="auto"/>
              <w:ind w:firstLine="420" w:firstLineChars="200"/>
              <w:rPr>
                <w:rFonts w:ascii="宋体" w:hAnsi="宋体" w:eastAsia="宋体" w:cs="宋体"/>
                <w:szCs w:val="21"/>
              </w:rPr>
            </w:pPr>
            <w:r>
              <w:rPr>
                <w:rFonts w:hint="eastAsia" w:ascii="宋体" w:hAnsi="宋体" w:eastAsia="宋体" w:cs="宋体"/>
                <w:szCs w:val="21"/>
              </w:rPr>
              <w:t>依据WS/T 500-2016的要求，检测测试对象中电子病历共享文档的文档结构和文档内容的标准符合性。</w:t>
            </w:r>
          </w:p>
        </w:tc>
      </w:tr>
      <w:tr w14:paraId="2563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33" w:type="dxa"/>
            <w:vAlign w:val="center"/>
          </w:tcPr>
          <w:p w14:paraId="3916C957">
            <w:pPr>
              <w:spacing w:line="360" w:lineRule="auto"/>
              <w:ind w:firstLine="420" w:firstLineChars="200"/>
              <w:rPr>
                <w:rFonts w:ascii="宋体" w:hAnsi="宋体" w:eastAsia="宋体" w:cs="宋体"/>
                <w:szCs w:val="21"/>
              </w:rPr>
            </w:pPr>
            <w:r>
              <w:rPr>
                <w:rFonts w:hint="eastAsia" w:ascii="宋体" w:hAnsi="宋体" w:eastAsia="宋体" w:cs="宋体"/>
                <w:szCs w:val="21"/>
              </w:rPr>
              <w:t>交互服务标准符合性测试</w:t>
            </w:r>
          </w:p>
        </w:tc>
        <w:tc>
          <w:tcPr>
            <w:tcW w:w="5766" w:type="dxa"/>
            <w:vAlign w:val="center"/>
          </w:tcPr>
          <w:p w14:paraId="05DD646E">
            <w:pPr>
              <w:spacing w:line="360" w:lineRule="auto"/>
              <w:ind w:firstLine="420" w:firstLineChars="200"/>
              <w:rPr>
                <w:rFonts w:ascii="宋体" w:hAnsi="宋体" w:eastAsia="宋体" w:cs="宋体"/>
                <w:szCs w:val="21"/>
              </w:rPr>
            </w:pPr>
            <w:r>
              <w:rPr>
                <w:rFonts w:hint="eastAsia" w:ascii="宋体" w:hAnsi="宋体" w:eastAsia="宋体" w:cs="宋体"/>
                <w:szCs w:val="21"/>
              </w:rPr>
              <w:t>检测测试对象是否符合医院信息平台技术规范。</w:t>
            </w:r>
          </w:p>
        </w:tc>
      </w:tr>
    </w:tbl>
    <w:p w14:paraId="7E9F0C44">
      <w:pPr>
        <w:keepNext/>
        <w:keepLines/>
        <w:wordWrap w:val="0"/>
        <w:autoSpaceDE w:val="0"/>
        <w:autoSpaceDN w:val="0"/>
        <w:adjustRightInd w:val="0"/>
        <w:spacing w:line="360" w:lineRule="auto"/>
        <w:jc w:val="left"/>
        <w:outlineLvl w:val="2"/>
        <w:rPr>
          <w:rFonts w:ascii="宋体" w:hAnsi="宋体" w:eastAsia="宋体" w:cs="宋体"/>
          <w:b/>
          <w:kern w:val="0"/>
          <w:szCs w:val="21"/>
        </w:rPr>
      </w:pPr>
      <w:r>
        <w:rPr>
          <w:rFonts w:hint="eastAsia" w:ascii="宋体" w:hAnsi="宋体" w:eastAsia="宋体" w:cs="宋体"/>
          <w:b/>
          <w:kern w:val="0"/>
          <w:szCs w:val="21"/>
        </w:rPr>
        <w:t>四、</w:t>
      </w:r>
      <w:bookmarkEnd w:id="4"/>
      <w:r>
        <w:rPr>
          <w:rFonts w:hint="eastAsia" w:ascii="宋体" w:hAnsi="宋体" w:eastAsia="宋体" w:cs="宋体"/>
          <w:b/>
          <w:kern w:val="0"/>
          <w:szCs w:val="21"/>
        </w:rPr>
        <w:t>服务内容</w:t>
      </w:r>
    </w:p>
    <w:p w14:paraId="46CB1BE0">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（一）提供相关技术资料供参考；</w:t>
      </w:r>
    </w:p>
    <w:p w14:paraId="2849AD88">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（二）提供定量测评环境，提供定量指标的预测评服务；</w:t>
      </w:r>
    </w:p>
    <w:p w14:paraId="5B0E68EB">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（三）提供现场定量指标抽测方案解读、定量指标整改咨询服务；</w:t>
      </w:r>
    </w:p>
    <w:p w14:paraId="60BB4004">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（四）为申请机构提供互联互通定量测评咨询服务，定量问题诊断分析。</w:t>
      </w:r>
    </w:p>
    <w:p w14:paraId="458DE1F1">
      <w:pPr>
        <w:keepNext/>
        <w:keepLines/>
        <w:wordWrap w:val="0"/>
        <w:autoSpaceDE w:val="0"/>
        <w:autoSpaceDN w:val="0"/>
        <w:adjustRightInd w:val="0"/>
        <w:spacing w:line="480" w:lineRule="exact"/>
        <w:jc w:val="left"/>
        <w:outlineLvl w:val="2"/>
        <w:rPr>
          <w:rFonts w:ascii="宋体" w:hAnsi="宋体" w:eastAsia="宋体" w:cs="宋体"/>
          <w:b/>
          <w:kern w:val="0"/>
          <w:szCs w:val="21"/>
        </w:rPr>
      </w:pPr>
      <w:bookmarkStart w:id="5" w:name="_Toc11863"/>
      <w:r>
        <w:rPr>
          <w:rFonts w:hint="eastAsia" w:ascii="宋体" w:hAnsi="宋体" w:eastAsia="宋体" w:cs="宋体"/>
          <w:b/>
          <w:kern w:val="0"/>
          <w:szCs w:val="21"/>
        </w:rPr>
        <w:t>五、验收</w:t>
      </w:r>
      <w:bookmarkEnd w:id="5"/>
    </w:p>
    <w:p w14:paraId="1A687DA2">
      <w:pPr>
        <w:spacing w:line="480" w:lineRule="exact"/>
        <w:ind w:firstLine="420" w:firstLineChars="200"/>
        <w:rPr>
          <w:rFonts w:ascii="宋体" w:hAnsi="宋体" w:eastAsia="宋体" w:cs="宋体"/>
          <w:szCs w:val="21"/>
        </w:rPr>
      </w:pPr>
      <w:r>
        <w:rPr>
          <w:rFonts w:hint="eastAsia" w:ascii="宋体" w:hAnsi="宋体" w:eastAsia="宋体" w:cs="宋体"/>
          <w:color w:val="000000"/>
          <w:szCs w:val="21"/>
        </w:rPr>
        <w:t>成交人和采购人双方依据项目内容和进度共同实施验收工作，验收结果和验收报告经双方确认后生效。</w:t>
      </w:r>
    </w:p>
    <w:p w14:paraId="163FB7B5">
      <w:pPr>
        <w:pStyle w:val="21"/>
        <w:numPr>
          <w:ilvl w:val="0"/>
          <w:numId w:val="0"/>
        </w:numPr>
        <w:spacing w:line="240" w:lineRule="auto"/>
        <w:rPr>
          <w:rFonts w:hint="eastAsia" w:ascii="仿宋" w:hAnsi="仿宋" w:eastAsia="仿宋" w:cs="仿宋"/>
          <w:b w:val="0"/>
          <w:bCs w:val="0"/>
          <w:color w:val="000000"/>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8D46446"/>
    <w:rsid w:val="092E1CF8"/>
    <w:rsid w:val="0C9B54A4"/>
    <w:rsid w:val="0C9E15FB"/>
    <w:rsid w:val="0E01406D"/>
    <w:rsid w:val="0FE760C4"/>
    <w:rsid w:val="103017E1"/>
    <w:rsid w:val="13B2765F"/>
    <w:rsid w:val="13BB11C7"/>
    <w:rsid w:val="151E7C1B"/>
    <w:rsid w:val="19647F42"/>
    <w:rsid w:val="1B676F82"/>
    <w:rsid w:val="1BBC6F25"/>
    <w:rsid w:val="1C1206E1"/>
    <w:rsid w:val="1F874AC5"/>
    <w:rsid w:val="1FD565B9"/>
    <w:rsid w:val="216A2D02"/>
    <w:rsid w:val="225362A6"/>
    <w:rsid w:val="22D84291"/>
    <w:rsid w:val="2374024F"/>
    <w:rsid w:val="23BA756A"/>
    <w:rsid w:val="25EC698F"/>
    <w:rsid w:val="266F60A8"/>
    <w:rsid w:val="2A2F3B18"/>
    <w:rsid w:val="2BC716AB"/>
    <w:rsid w:val="2DFB722A"/>
    <w:rsid w:val="2EB5074D"/>
    <w:rsid w:val="2F647967"/>
    <w:rsid w:val="33B84876"/>
    <w:rsid w:val="36B5083C"/>
    <w:rsid w:val="38023D7A"/>
    <w:rsid w:val="3A6C704C"/>
    <w:rsid w:val="3AF30ADD"/>
    <w:rsid w:val="3C4217D6"/>
    <w:rsid w:val="3C806A23"/>
    <w:rsid w:val="3DD3049C"/>
    <w:rsid w:val="3E0858C1"/>
    <w:rsid w:val="41DF30A6"/>
    <w:rsid w:val="456552E9"/>
    <w:rsid w:val="46E24E21"/>
    <w:rsid w:val="4733009B"/>
    <w:rsid w:val="47B72984"/>
    <w:rsid w:val="4A077580"/>
    <w:rsid w:val="4A4F05A7"/>
    <w:rsid w:val="4C97358B"/>
    <w:rsid w:val="4D8B7271"/>
    <w:rsid w:val="4F4E164A"/>
    <w:rsid w:val="4F726768"/>
    <w:rsid w:val="520D0D06"/>
    <w:rsid w:val="528C19BA"/>
    <w:rsid w:val="535605B7"/>
    <w:rsid w:val="56956D89"/>
    <w:rsid w:val="57E2776B"/>
    <w:rsid w:val="585D4B06"/>
    <w:rsid w:val="5A6F41D6"/>
    <w:rsid w:val="5C9A1AC5"/>
    <w:rsid w:val="5CF56F3C"/>
    <w:rsid w:val="5DB81151"/>
    <w:rsid w:val="5E192D5D"/>
    <w:rsid w:val="5E4374EB"/>
    <w:rsid w:val="5EDB2B44"/>
    <w:rsid w:val="5F59405B"/>
    <w:rsid w:val="601B366F"/>
    <w:rsid w:val="60BE74F3"/>
    <w:rsid w:val="633B49C5"/>
    <w:rsid w:val="64F54B95"/>
    <w:rsid w:val="65135A3B"/>
    <w:rsid w:val="66BC16DF"/>
    <w:rsid w:val="694A43FB"/>
    <w:rsid w:val="6D2277DE"/>
    <w:rsid w:val="6E600670"/>
    <w:rsid w:val="6EB92AF8"/>
    <w:rsid w:val="70A43B43"/>
    <w:rsid w:val="7103456C"/>
    <w:rsid w:val="721E7C61"/>
    <w:rsid w:val="74000C22"/>
    <w:rsid w:val="74270879"/>
    <w:rsid w:val="769449CE"/>
    <w:rsid w:val="7791130C"/>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100"/>
      <w:jc w:val="center"/>
      <w:outlineLvl w:val="0"/>
    </w:pPr>
    <w:rPr>
      <w:b/>
      <w:bCs/>
      <w:kern w:val="44"/>
      <w:sz w:val="32"/>
      <w:szCs w:val="44"/>
    </w:rPr>
  </w:style>
  <w:style w:type="paragraph" w:styleId="4">
    <w:name w:val="heading 2"/>
    <w:basedOn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table of authorities"/>
    <w:basedOn w:val="1"/>
    <w:next w:val="1"/>
    <w:qFormat/>
    <w:uiPriority w:val="0"/>
    <w:pPr>
      <w:ind w:left="200" w:leftChars="200"/>
    </w:pPr>
    <w:rPr>
      <w:szCs w:val="24"/>
    </w:rPr>
  </w:style>
  <w:style w:type="paragraph" w:styleId="7">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annotation text"/>
    <w:basedOn w:val="1"/>
    <w:next w:val="6"/>
    <w:autoRedefine/>
    <w:qFormat/>
    <w:uiPriority w:val="0"/>
    <w:pPr>
      <w:jc w:val="left"/>
    </w:pPr>
    <w:rPr>
      <w:rFonts w:ascii="仿宋_GB2312" w:eastAsia="仿宋_GB2312"/>
      <w:sz w:val="32"/>
      <w:szCs w:val="32"/>
    </w:rPr>
  </w:style>
  <w:style w:type="paragraph" w:styleId="9">
    <w:name w:val="Body Text"/>
    <w:basedOn w:val="1"/>
    <w:next w:val="1"/>
    <w:autoRedefine/>
    <w:qFormat/>
    <w:uiPriority w:val="0"/>
    <w:pPr>
      <w:tabs>
        <w:tab w:val="left" w:pos="567"/>
      </w:tabs>
      <w:spacing w:before="120" w:line="22" w:lineRule="atLeast"/>
    </w:pPr>
    <w:rPr>
      <w:rFonts w:ascii="宋体" w:hAnsi="宋体"/>
      <w:sz w:val="24"/>
    </w:rPr>
  </w:style>
  <w:style w:type="paragraph" w:styleId="10">
    <w:name w:val="Body Text Indent"/>
    <w:basedOn w:val="1"/>
    <w:autoRedefine/>
    <w:qFormat/>
    <w:uiPriority w:val="0"/>
    <w:pPr>
      <w:spacing w:after="120"/>
      <w:ind w:left="420" w:leftChars="200"/>
    </w:p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9"/>
    <w:autoRedefine/>
    <w:qFormat/>
    <w:uiPriority w:val="0"/>
    <w:pPr>
      <w:ind w:firstLine="420" w:firstLineChars="100"/>
    </w:pPr>
  </w:style>
  <w:style w:type="paragraph" w:styleId="15">
    <w:name w:val="Body Text First Indent 2"/>
    <w:basedOn w:val="10"/>
    <w:autoRedefine/>
    <w:unhideWhenUsed/>
    <w:qFormat/>
    <w:uiPriority w:val="99"/>
    <w:pPr>
      <w:ind w:firstLine="420" w:firstLineChars="200"/>
    </w:pPr>
    <w:rPr>
      <w:rFonts w:ascii="Calibri" w:hAnsi="Calibri"/>
      <w:szCs w:val="22"/>
    </w:rPr>
  </w:style>
  <w:style w:type="table" w:styleId="17">
    <w:name w:val="Table Grid"/>
    <w:basedOn w:val="16"/>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 New"/>
    <w:basedOn w:val="1"/>
    <w:qFormat/>
    <w:uiPriority w:val="0"/>
    <w:pPr>
      <w:spacing w:before="100" w:beforeAutospacing="1" w:after="100" w:afterAutospacing="1" w:line="440" w:lineRule="exact"/>
      <w:ind w:left="357" w:hanging="357"/>
    </w:pPr>
    <w:rPr>
      <w:szCs w:val="21"/>
    </w:rPr>
  </w:style>
  <w:style w:type="paragraph" w:customStyle="1" w:styleId="20">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UserStyle_1"/>
    <w:autoRedefine/>
    <w:semiHidden/>
    <w:qFormat/>
    <w:uiPriority w:val="0"/>
  </w:style>
  <w:style w:type="character" w:customStyle="1" w:styleId="25">
    <w:name w:val="UserStyle_7"/>
    <w:autoRedefine/>
    <w:qFormat/>
    <w:uiPriority w:val="0"/>
  </w:style>
  <w:style w:type="character" w:customStyle="1" w:styleId="26">
    <w:name w:val="NormalCharacter"/>
    <w:autoRedefine/>
    <w:semiHidden/>
    <w:qFormat/>
    <w:uiPriority w:val="0"/>
  </w:style>
  <w:style w:type="paragraph" w:customStyle="1" w:styleId="27">
    <w:name w:val="UserStyle_23"/>
    <w:basedOn w:val="1"/>
    <w:autoRedefine/>
    <w:qFormat/>
    <w:uiPriority w:val="0"/>
    <w:pPr>
      <w:widowControl/>
      <w:snapToGrid w:val="0"/>
      <w:jc w:val="left"/>
      <w:textAlignment w:val="baseline"/>
    </w:pPr>
    <w:rPr>
      <w:rFonts w:ascii="Arial" w:hAnsi="Arial" w:eastAsia="Arial"/>
      <w:color w:val="000000"/>
      <w:kern w:val="0"/>
      <w:szCs w:val="21"/>
    </w:rPr>
  </w:style>
  <w:style w:type="paragraph" w:customStyle="1" w:styleId="28">
    <w:name w:val="List Paragraph"/>
    <w:basedOn w:val="1"/>
    <w:qFormat/>
    <w:uiPriority w:val="99"/>
    <w:pPr>
      <w:spacing w:before="23"/>
      <w:ind w:left="1040" w:firstLine="420"/>
    </w:pPr>
  </w:style>
  <w:style w:type="paragraph" w:customStyle="1" w:styleId="29">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0">
    <w:name w:val="正文缩进HS-正文1"/>
    <w:basedOn w:val="1"/>
    <w:qFormat/>
    <w:uiPriority w:val="0"/>
    <w:pPr>
      <w:adjustRightInd w:val="0"/>
      <w:spacing w:line="480" w:lineRule="exact"/>
      <w:jc w:val="center"/>
    </w:pPr>
    <w:rPr>
      <w:rFonts w:ascii="宋体" w:hAnsi="Times New Roman" w:eastAsia="宋体" w:cs="Times New Roman"/>
      <w:kern w:val="0"/>
      <w:sz w:val="24"/>
    </w:rPr>
  </w:style>
  <w:style w:type="paragraph" w:customStyle="1" w:styleId="3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2907</Words>
  <Characters>3421</Characters>
  <Lines>4</Lines>
  <Paragraphs>1</Paragraphs>
  <TotalTime>0</TotalTime>
  <ScaleCrop>false</ScaleCrop>
  <LinksUpToDate>false</LinksUpToDate>
  <CharactersWithSpaces>3448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2024-12-15T01:01:00Z</cp:lastPrinted>
  <dcterms:modified xsi:type="dcterms:W3CDTF">2025-04-01T00:27:16Z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DCDDA5A06994403AB6671D77D21BD9D8_13</vt:lpwstr>
  </property>
  <property fmtid="{D5CDD505-2E9C-101B-9397-08002B2CF9AE}" pid="4" name="KSOTemplateDocerSaveRecord">
    <vt:lpwstr>eyJoZGlkIjoiYjdjYTVmNmNmMDQzNzYxOWE0NDM1NTk2M2JmZDMxNDUiLCJ1c2VySWQiOiI1NjQ3ODk3NjUifQ==</vt:lpwstr>
  </property>
</Properties>
</file>